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AE" w:rsidRPr="00DB555D" w:rsidRDefault="002808AE" w:rsidP="002808AE">
      <w:pPr>
        <w:spacing w:line="560" w:lineRule="exact"/>
        <w:jc w:val="center"/>
        <w:rPr>
          <w:rFonts w:ascii="方正小标宋简体" w:eastAsia="方正小标宋简体" w:hAnsi="仿宋" w:cs="仿宋"/>
          <w:sz w:val="44"/>
          <w:szCs w:val="44"/>
        </w:rPr>
      </w:pPr>
      <w:r w:rsidRPr="00DB555D">
        <w:rPr>
          <w:rFonts w:ascii="方正小标宋简体" w:eastAsia="方正小标宋简体" w:hAnsi="仿宋" w:cs="仿宋" w:hint="eastAsia"/>
          <w:sz w:val="44"/>
          <w:szCs w:val="44"/>
        </w:rPr>
        <w:t>海南经贸职业技术学院</w:t>
      </w:r>
    </w:p>
    <w:p w:rsidR="002808AE" w:rsidRDefault="002808AE" w:rsidP="002808AE">
      <w:pPr>
        <w:spacing w:line="360" w:lineRule="auto"/>
        <w:jc w:val="center"/>
        <w:rPr>
          <w:rFonts w:ascii="仿宋" w:eastAsia="仿宋" w:hAnsi="仿宋" w:cs="仿宋"/>
          <w:sz w:val="36"/>
          <w:szCs w:val="36"/>
        </w:rPr>
      </w:pPr>
      <w:r w:rsidRPr="00DB555D">
        <w:rPr>
          <w:rFonts w:ascii="方正小标宋简体" w:eastAsia="方正小标宋简体" w:hAnsi="仿宋" w:cs="仿宋" w:hint="eastAsia"/>
          <w:sz w:val="44"/>
          <w:szCs w:val="44"/>
        </w:rPr>
        <w:t>培训费管理办法（试行）</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琼贸职院字〔2019〕167号</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第一章 总则</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第一条 为加强学院培训管理，规范培训经费使用，保障培训工作顺利进行，提高资金使用效益。根据省财政厅、省委组织部、省人力资源和社会保障厅《关于印发的〈海南省省直机关培训费管理办法〉的通知》（琼财行〔2017〕442号）的文件精神，结合学院实际，制定本办法。</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第二条 本办法所称培训，是指学院各部门、单位（以下简称“部门”）举办的三个月以内的各类培训，包括对教职工进行培训和承担校外单位委托的培训，不含教职工参加的校外培训。</w:t>
      </w:r>
    </w:p>
    <w:p w:rsidR="002808AE" w:rsidRPr="00DB555D" w:rsidRDefault="002808AE" w:rsidP="002808AE">
      <w:pPr>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第三条 各部门举办培训应当坚持厉行节约、反对浪费的原则，实行学院统一管理，增强培训计划的科学性和严肃性，增强培训项目的针对性和实效性，保证培训质量，节约培训资源，提高培训经费使用效益。</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第二章 方案编制和审批</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第四条 培训举办部门须将所有培训纳入年度培训计划，并应在培训开展前，编制详细的培训方案（包括培训名称、目的、对象、内容、时间、地点、参训人数、所需经费及列支渠道等），经学院计划财务处审核,按学院规定的经费审批权限审批后实施。</w:t>
      </w:r>
    </w:p>
    <w:p w:rsidR="002808AE" w:rsidRPr="00DB555D" w:rsidRDefault="002808AE" w:rsidP="002808AE">
      <w:pPr>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第五条 培训方案及其预算一经批准，原则上不得调整，因工作需要确需临时增加培训项目及调整预算的，报院长审批。</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第三章 开支范围和标准</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第六条 培训费，是指各部门开展培训直接发生的各项费用支出，包括师资费、住宿费、伙食费、培训场地费、培训资料费、交通费以及其他费用。</w:t>
      </w:r>
    </w:p>
    <w:p w:rsidR="002808AE" w:rsidRPr="00DB555D" w:rsidRDefault="002808AE" w:rsidP="002808AE">
      <w:pPr>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（一）师资费是指聘请师资授课发生的费用，包括授课老师讲课费、住宿费、伙食费、城市间交通费等。</w:t>
      </w:r>
    </w:p>
    <w:p w:rsidR="002808AE" w:rsidRPr="00DB555D" w:rsidRDefault="002808AE" w:rsidP="002808AE">
      <w:pPr>
        <w:spacing w:line="276"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（二）住宿费是指参训人员及工作人员培训期间发生的租住房间的费用。</w:t>
      </w:r>
    </w:p>
    <w:p w:rsidR="002808AE" w:rsidRPr="00DB555D" w:rsidRDefault="002808AE" w:rsidP="002808AE">
      <w:pPr>
        <w:spacing w:line="276"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（三）伙食费是指参训人员及工作人员培训期间发生的用餐费用。</w:t>
      </w:r>
    </w:p>
    <w:p w:rsidR="002808AE" w:rsidRPr="00DB555D" w:rsidRDefault="002808AE" w:rsidP="002808AE">
      <w:pPr>
        <w:spacing w:line="276"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（四）培训场地费是指用于培训的会议室或教室租金。</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（五）培训资料费是指培训期间必要的资料及办公用品费。</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（六）交通费是指用于培训所需的人员接送以及与培训有关的考察、调研等发生的交通支出。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（七）其他费用是指现场教学费、设备租赁费、文体活动费、医药费等与培训有关的其他支出。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参训人员参加培训往返及异地教学发生的城市间交通费，按照差旅费管理办法回单位报销。</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第七条 除师资费外，其他培训费实行分类综合定额标准，分项核定、总额控制，各项费用之间可以调剂使用。综合定额标准如下（单位：元/人/天）：</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17"/>
        <w:gridCol w:w="3119"/>
        <w:gridCol w:w="1701"/>
        <w:gridCol w:w="1479"/>
      </w:tblGrid>
      <w:tr w:rsidR="002808AE" w:rsidRPr="00DB555D" w:rsidTr="0005745C">
        <w:tc>
          <w:tcPr>
            <w:tcW w:w="1526"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住宿费</w:t>
            </w:r>
          </w:p>
        </w:tc>
        <w:tc>
          <w:tcPr>
            <w:tcW w:w="1417"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伙食费</w:t>
            </w:r>
          </w:p>
        </w:tc>
        <w:tc>
          <w:tcPr>
            <w:tcW w:w="3119"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场地、资料、交通费</w:t>
            </w:r>
          </w:p>
        </w:tc>
        <w:tc>
          <w:tcPr>
            <w:tcW w:w="1701"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其他费用</w:t>
            </w:r>
          </w:p>
        </w:tc>
        <w:tc>
          <w:tcPr>
            <w:tcW w:w="1479"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合计</w:t>
            </w:r>
          </w:p>
        </w:tc>
      </w:tr>
      <w:tr w:rsidR="002808AE" w:rsidRPr="00DB555D" w:rsidTr="0005745C">
        <w:tc>
          <w:tcPr>
            <w:tcW w:w="1526"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340</w:t>
            </w:r>
          </w:p>
        </w:tc>
        <w:tc>
          <w:tcPr>
            <w:tcW w:w="1417"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130</w:t>
            </w:r>
          </w:p>
        </w:tc>
        <w:tc>
          <w:tcPr>
            <w:tcW w:w="3119"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50</w:t>
            </w:r>
          </w:p>
        </w:tc>
        <w:tc>
          <w:tcPr>
            <w:tcW w:w="1701"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30</w:t>
            </w:r>
          </w:p>
        </w:tc>
        <w:tc>
          <w:tcPr>
            <w:tcW w:w="1479" w:type="dxa"/>
            <w:shd w:val="clear" w:color="auto" w:fill="auto"/>
          </w:tcPr>
          <w:p w:rsidR="002808AE" w:rsidRPr="00DB555D" w:rsidRDefault="002808AE" w:rsidP="0005745C">
            <w:pPr>
              <w:jc w:val="center"/>
              <w:rPr>
                <w:rFonts w:ascii="仿宋_GB2312" w:eastAsia="仿宋_GB2312" w:hAnsi="仿宋" w:cs="仿宋"/>
                <w:sz w:val="32"/>
                <w:szCs w:val="32"/>
              </w:rPr>
            </w:pPr>
            <w:r w:rsidRPr="00DB555D">
              <w:rPr>
                <w:rFonts w:ascii="仿宋_GB2312" w:eastAsia="仿宋_GB2312" w:hAnsi="仿宋" w:cs="仿宋" w:hint="eastAsia"/>
                <w:sz w:val="32"/>
                <w:szCs w:val="32"/>
              </w:rPr>
              <w:t>550</w:t>
            </w:r>
          </w:p>
        </w:tc>
      </w:tr>
    </w:tbl>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综合定额标准是相关费用开支的上限。各部门承办培训后应在综合定额标准以内据实结算报销。</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30天以内的培训按照综合定额标准控制；超过30天的培训，超过天数按照综合定额标准的70%控制。上述天数含报到撤离时间，报到和撤离时间分别不得超过1天。</w:t>
      </w:r>
    </w:p>
    <w:p w:rsidR="002808AE" w:rsidRPr="00DB555D" w:rsidRDefault="002808AE" w:rsidP="002808AE">
      <w:pPr>
        <w:spacing w:line="560" w:lineRule="exact"/>
        <w:ind w:firstLineChars="300" w:firstLine="960"/>
        <w:rPr>
          <w:rFonts w:ascii="仿宋_GB2312" w:eastAsia="仿宋_GB2312" w:hAnsi="仿宋" w:cs="仿宋"/>
          <w:sz w:val="32"/>
          <w:szCs w:val="32"/>
        </w:rPr>
      </w:pPr>
      <w:r w:rsidRPr="00DB555D">
        <w:rPr>
          <w:rFonts w:ascii="仿宋_GB2312" w:eastAsia="仿宋_GB2312" w:hAnsi="仿宋" w:cs="仿宋" w:hint="eastAsia"/>
          <w:sz w:val="32"/>
          <w:szCs w:val="32"/>
        </w:rPr>
        <w:t>第八条 师资费在综合定额标准外单独核算。</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（一）讲课费（税后）执行以下标准：副高级技术职称专业及以下或处级及以下人员每学时最高不超过500元，正</w:t>
      </w:r>
      <w:r w:rsidRPr="00DB555D">
        <w:rPr>
          <w:rFonts w:ascii="仿宋_GB2312" w:eastAsia="仿宋_GB2312" w:hAnsi="仿宋" w:cs="仿宋" w:hint="eastAsia"/>
          <w:sz w:val="32"/>
          <w:szCs w:val="32"/>
        </w:rPr>
        <w:lastRenderedPageBreak/>
        <w:t>高级技术职称专业或厅级人员每学时最高不超过1000元，院士、全国知名专家或省部级每学时一般不超过1500元。</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讲课费按实际发生的学时计算，每半天最多按4学时计算。</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本院人员讲课的，可按上列标准发放讲课费。</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同时为多班次一并授课的，不重复计算讲课费。</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（二）授课老师的城市间交通费按照学院差旅费有关规定和标准执行，住宿费、伙食费按照本办法标准执行。</w:t>
      </w:r>
    </w:p>
    <w:p w:rsidR="002808AE" w:rsidRPr="00DB555D" w:rsidRDefault="002808AE" w:rsidP="002808AE">
      <w:pPr>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（三）培训工作确有需要从异地（含境外）邀请授课老师，路途时间较长的，经院长批准，讲课费可以适当增加。</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第四章 培训组织</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 xml:space="preserve">第九条 各部门开展培训，应当在开支范围和标准内优先选择在学院的会议室、礼堂、宾馆等场所。确需在学院外培训的，应当在开支范围和标准内，应优先选择党校、行政学院、社会主义学院、干部学院、部门行业所属培训机构、高校培训基地以及上级组织人事部门认可的培训机构承办。不能委托中介公司或旅行社承办，除非中介公司或施行社有业务对口的培训资质。 </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第十条 组织培训的工作人员控制在参训人员数量的10%以内，最多不超过10人。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第十一条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住宿不得安排高档套房，不得额外配发洗漱用品；培训用餐不得上高档菜肴，不得提供烟酒，优先选择学院食堂；除必要的现场教学外，7日以内的培训不得组织调研、考察、参观。</w:t>
      </w:r>
    </w:p>
    <w:p w:rsidR="002808AE" w:rsidRPr="00DB555D" w:rsidRDefault="002808AE" w:rsidP="002808AE">
      <w:pPr>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第十二条 邀请境外师资讲课，须严格按照有关外事管理规定，履行审批手续。境内师资能够满足培训需要的，不得邀请境外师资。</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第五章 报销结算</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第十三条 培训结束后应在30个工作日内办理完成报账手续，报销培训费，综合定额范围内的，应当提供培训结算表、培训通知、实际参训人员签到表以及费用明细等原始凭证；师资费范围内的，应当提供劳务报酬支付清单，异地授课的城市间交通费、住宿费、伙食费按照差旅费规定提供相关凭据。</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计划财务处应当严格按照规定审核培训费开支，对超范围、超标准开支的费用不予报销。</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第十四条 培训费的资金支付应当执行国库集中支付和公务卡管理有关制度规定。</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第六章 监督检查</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第十五条 除涉密事项外，培训部门要对培训的项目、内容、人数、经费等情况，在学院院务公开栏公示。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第十六条 各部门的培训情况，应当在培训结束的两个月内将培训执行情况（包括培训名称、目的、对象、内容、时间、地点、参训人数、工作人员数、经费开支及列支渠道、培训成效、问题建设等）分别报送组织人事处、计划财务处，并由组织人事处、计划财务处于每年的3月31日前报送省财政厅、省委组织部、省人力资源和社会保障厅。</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第十七条 组织人事处、审计处、计划财务处等有关部门对各部门培训活动和培训费管理使用情况进行监督检查。主要内容包括：</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（一）培训计划的编报是否符合规定。</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（二）培训费开支范围和开支标准是否符合规定。</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（三）培训费报销和支付是否符合规定。</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（四）是否存在虚报培训费用的行为。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（五）是否存在转嫁、摊派培训费用的行为。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（六）是否存在奢侈浪费现象。</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（七）是否存在其他违反本办法的行为。</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第十八条 对于检查中发现的违反本办法的行为，由组织人事处、审计处、计划财务处等有关部门责令改正，追回资金，并予以通报。对相关责任人员，按规定予以党纪政纪处分；涉嫌违法的，移交司法机关处理。</w:t>
      </w:r>
    </w:p>
    <w:p w:rsidR="002808AE" w:rsidRPr="00DB555D" w:rsidRDefault="002808AE" w:rsidP="002808AE">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第七章 附则</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第十九条 本办法由计划财务处商组织人事处负责解释。</w:t>
      </w:r>
    </w:p>
    <w:p w:rsidR="002808AE" w:rsidRPr="00DB555D" w:rsidRDefault="002808AE" w:rsidP="002808AE">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第二十条 本办法自公布之日起施行。</w:t>
      </w:r>
    </w:p>
    <w:p w:rsidR="002808AE" w:rsidRPr="00DB555D" w:rsidRDefault="002808AE" w:rsidP="002808AE">
      <w:pPr>
        <w:spacing w:line="560" w:lineRule="exact"/>
        <w:ind w:firstLineChars="200" w:firstLine="640"/>
        <w:rPr>
          <w:rFonts w:ascii="仿宋_GB2312" w:eastAsia="仿宋_GB2312" w:hAnsi="仿宋" w:cs="仿宋"/>
          <w:sz w:val="32"/>
          <w:szCs w:val="32"/>
        </w:rPr>
      </w:pPr>
    </w:p>
    <w:p w:rsidR="002808AE" w:rsidRPr="00DB555D" w:rsidRDefault="002808AE" w:rsidP="002808AE">
      <w:pPr>
        <w:pStyle w:val="a4"/>
        <w:rPr>
          <w:rFonts w:ascii="仿宋_GB2312" w:eastAsia="仿宋_GB2312" w:hAnsi="仿宋" w:cs="仿宋"/>
          <w:color w:val="000000"/>
          <w:sz w:val="32"/>
          <w:szCs w:val="32"/>
        </w:rPr>
      </w:pPr>
    </w:p>
    <w:p w:rsidR="002808AE" w:rsidRPr="00DB555D" w:rsidRDefault="002808AE" w:rsidP="002808AE">
      <w:pPr>
        <w:pStyle w:val="a4"/>
        <w:rPr>
          <w:rFonts w:ascii="仿宋_GB2312" w:eastAsia="仿宋_GB2312" w:hAnsi="仿宋" w:cs="仿宋"/>
          <w:color w:val="000000"/>
          <w:sz w:val="32"/>
          <w:szCs w:val="32"/>
        </w:rPr>
      </w:pPr>
    </w:p>
    <w:p w:rsidR="005075F7" w:rsidRPr="002808AE" w:rsidRDefault="005075F7"/>
    <w:sectPr w:rsidR="005075F7" w:rsidRPr="00280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5F7" w:rsidRDefault="005075F7" w:rsidP="002808AE">
      <w:pPr>
        <w:spacing w:after="0"/>
      </w:pPr>
      <w:r>
        <w:separator/>
      </w:r>
    </w:p>
  </w:endnote>
  <w:endnote w:type="continuationSeparator" w:id="1">
    <w:p w:rsidR="005075F7" w:rsidRDefault="005075F7" w:rsidP="002808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hakuyoxingshu7000"/>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5F7" w:rsidRDefault="005075F7" w:rsidP="002808AE">
      <w:pPr>
        <w:spacing w:after="0"/>
      </w:pPr>
      <w:r>
        <w:separator/>
      </w:r>
    </w:p>
  </w:footnote>
  <w:footnote w:type="continuationSeparator" w:id="1">
    <w:p w:rsidR="005075F7" w:rsidRDefault="005075F7" w:rsidP="002808A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08AE"/>
    <w:rsid w:val="002808AE"/>
    <w:rsid w:val="00507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A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8AE"/>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semiHidden/>
    <w:rsid w:val="002808AE"/>
    <w:rPr>
      <w:sz w:val="18"/>
      <w:szCs w:val="18"/>
    </w:rPr>
  </w:style>
  <w:style w:type="paragraph" w:styleId="a4">
    <w:name w:val="footer"/>
    <w:basedOn w:val="a"/>
    <w:link w:val="Char0"/>
    <w:uiPriority w:val="99"/>
    <w:unhideWhenUsed/>
    <w:qFormat/>
    <w:rsid w:val="002808AE"/>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qFormat/>
    <w:rsid w:val="002808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2021-04-12T02:17:00Z</dcterms:created>
  <dcterms:modified xsi:type="dcterms:W3CDTF">2021-04-12T02:18:00Z</dcterms:modified>
</cp:coreProperties>
</file>